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BB" w:rsidRDefault="0052775F">
      <w:pPr>
        <w:rPr>
          <w:b/>
          <w:color w:val="000080"/>
        </w:rPr>
      </w:pPr>
      <w:r w:rsidRPr="007A702E">
        <w:rPr>
          <w:b/>
          <w:color w:val="000080"/>
          <w:lang w:val="sr-Cyrl-CS"/>
        </w:rPr>
        <w:t>ФАКУЛТЕТИ И ИНСТИТУТИ У САСТАВУ УНИВЕРЗИТЕТА</w:t>
      </w: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310"/>
        <w:gridCol w:w="1710"/>
        <w:gridCol w:w="2700"/>
      </w:tblGrid>
      <w:tr w:rsidR="0052775F" w:rsidRPr="007A702E" w:rsidTr="0052775F">
        <w:trPr>
          <w:trHeight w:hRule="exact" w:val="567"/>
        </w:trPr>
        <w:tc>
          <w:tcPr>
            <w:tcW w:w="9288" w:type="dxa"/>
            <w:gridSpan w:val="4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52775F" w:rsidRPr="007A702E" w:rsidRDefault="0052775F" w:rsidP="00FD4510">
            <w:pPr>
              <w:jc w:val="center"/>
              <w:rPr>
                <w:b/>
                <w:color w:val="000080"/>
                <w:lang w:val="sr-Cyrl-CS"/>
              </w:rPr>
            </w:pPr>
            <w:r w:rsidRPr="007A702E">
              <w:rPr>
                <w:b/>
                <w:color w:val="000080"/>
                <w:lang w:val="sr-Cyrl-CS"/>
              </w:rPr>
              <w:t>ФАКУЛТЕТИ И ИНСТИТУТИ У САСТАВУ УНИВЕРЗИТЕТА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center"/>
              <w:rPr>
                <w:b/>
                <w:lang w:val="sr-Cyrl-CS"/>
              </w:rPr>
            </w:pPr>
            <w:r w:rsidRPr="007A702E">
              <w:rPr>
                <w:b/>
                <w:lang w:val="sr-Cyrl-CS"/>
              </w:rPr>
              <w:t>Р.б.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center"/>
              <w:rPr>
                <w:b/>
                <w:lang w:val="sr-Cyrl-CS"/>
              </w:rPr>
            </w:pPr>
            <w:r w:rsidRPr="007A702E">
              <w:rPr>
                <w:b/>
                <w:lang w:val="sr-Cyrl-CS"/>
              </w:rPr>
              <w:t>Објекат</w:t>
            </w:r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center"/>
              <w:rPr>
                <w:b/>
                <w:lang w:val="sr-Cyrl-CS"/>
              </w:rPr>
            </w:pPr>
            <w:r w:rsidRPr="007A702E">
              <w:rPr>
                <w:b/>
                <w:lang w:val="sr-Cyrl-CS"/>
              </w:rPr>
              <w:t>Површна м2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center"/>
              <w:rPr>
                <w:b/>
                <w:lang w:val="sr-Cyrl-CS"/>
              </w:rPr>
            </w:pPr>
            <w:r w:rsidRPr="007A702E">
              <w:rPr>
                <w:b/>
                <w:lang w:val="sr-Cyrl-CS"/>
              </w:rPr>
              <w:t>Адреса</w:t>
            </w:r>
          </w:p>
        </w:tc>
      </w:tr>
      <w:tr w:rsidR="0052775F" w:rsidRPr="007A702E" w:rsidTr="0052775F">
        <w:trPr>
          <w:trHeight w:val="1187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 xml:space="preserve">Технолошки факултет </w:t>
            </w:r>
          </w:p>
          <w:p w:rsidR="0052775F" w:rsidRPr="00D176EE" w:rsidRDefault="0052775F" w:rsidP="0052775F">
            <w:hyperlink r:id="rId5" w:history="1">
              <w:r w:rsidRPr="00F82D23">
                <w:rPr>
                  <w:rStyle w:val="Hyperlink"/>
                </w:rPr>
                <w:t>http://www.tf.uns.ac.rs/org-org.php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12.719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Булевар Цара Лазара 1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2.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Факултет техничких наука</w:t>
            </w:r>
          </w:p>
          <w:p w:rsidR="0052775F" w:rsidRPr="00D176EE" w:rsidRDefault="0052775F" w:rsidP="0052775F">
            <w:hyperlink r:id="rId6" w:history="1">
              <w:r w:rsidRPr="00F82D23">
                <w:rPr>
                  <w:rStyle w:val="Hyperlink"/>
                </w:rPr>
                <w:t>http://www.ftn.uns.ac.rs/index.php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>
              <w:t>32</w:t>
            </w:r>
            <w:r w:rsidRPr="007A702E">
              <w:rPr>
                <w:lang w:val="sr-Cyrl-CS"/>
              </w:rPr>
              <w:t>.320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Трг Доситеја Обрадовића 6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3.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Природно-математички факултет</w:t>
            </w:r>
          </w:p>
          <w:p w:rsidR="0052775F" w:rsidRPr="001B73AD" w:rsidRDefault="0052775F" w:rsidP="0052775F">
            <w:hyperlink r:id="rId7" w:history="1">
              <w:r w:rsidRPr="00F82D23">
                <w:rPr>
                  <w:rStyle w:val="Hyperlink"/>
                </w:rPr>
                <w:t>http://www.pmf.uns.ac.rs/o_fakultetu/akta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21.928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Трг Доситеја Обрадовића 3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4.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Грађевински факултет у Суботици</w:t>
            </w:r>
          </w:p>
          <w:p w:rsidR="0052775F" w:rsidRPr="001B73AD" w:rsidRDefault="0052775F" w:rsidP="0052775F">
            <w:pPr>
              <w:rPr>
                <w:b/>
              </w:rPr>
            </w:pPr>
            <w:hyperlink r:id="rId8" w:history="1">
              <w:r w:rsidRPr="001B73AD">
                <w:rPr>
                  <w:rStyle w:val="Hyperlink"/>
                </w:rPr>
                <w:t>http://www.gf.uns.ac.rs/fakultet/lokacija.php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5.200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Козарачка 2а</w:t>
            </w:r>
            <w:r w:rsidRPr="007A702E">
              <w:rPr>
                <w:lang w:val="sr-Cyrl-CS"/>
              </w:rPr>
              <w:br/>
              <w:t>24000 Суботица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5.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 xml:space="preserve">Пољопривредни факултет </w:t>
            </w:r>
          </w:p>
          <w:p w:rsidR="0052775F" w:rsidRPr="00D176EE" w:rsidRDefault="0052775F" w:rsidP="00FD4510">
            <w:pPr>
              <w:rPr>
                <w:b/>
              </w:rPr>
            </w:pPr>
            <w:hyperlink r:id="rId9" w:tgtFrame="_blank" w:history="1">
              <w:r>
                <w:rPr>
                  <w:rStyle w:val="Hyperlink"/>
                  <w:rFonts w:ascii="Arial" w:hAnsi="Arial" w:cs="Arial"/>
                </w:rPr>
                <w:t>http://polj.uns.ac.rs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 w:hanging="8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19.998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Трг Доситеја Обрадовића 8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6.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Економски факултет у Суботици</w:t>
            </w:r>
          </w:p>
          <w:p w:rsidR="0052775F" w:rsidRPr="00D176EE" w:rsidRDefault="0052775F" w:rsidP="0052775F">
            <w:hyperlink r:id="rId10" w:history="1">
              <w:r w:rsidRPr="00F82D23">
                <w:rPr>
                  <w:rStyle w:val="Hyperlink"/>
                </w:rPr>
                <w:t>http://www.ef.uns.ac.rs/index.htm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 w:hanging="8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11.696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Сегедински пут 9-11</w:t>
            </w:r>
            <w:r w:rsidRPr="007A702E">
              <w:rPr>
                <w:lang w:val="sr-Cyrl-CS"/>
              </w:rPr>
              <w:br/>
              <w:t>24000 Суботица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7.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Филозофски факултет</w:t>
            </w:r>
          </w:p>
          <w:p w:rsidR="0052775F" w:rsidRPr="00D176EE" w:rsidRDefault="0052775F" w:rsidP="00FD4510">
            <w:pPr>
              <w:rPr>
                <w:b/>
              </w:rPr>
            </w:pPr>
            <w:hyperlink r:id="rId11" w:tgtFrame="_blank" w:history="1">
              <w:r>
                <w:rPr>
                  <w:rStyle w:val="Hyperlink"/>
                  <w:rFonts w:ascii="Arial" w:hAnsi="Arial" w:cs="Arial"/>
                </w:rPr>
                <w:t>http://www.ff.uns.ac.rs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 w:hanging="8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12.893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Др Зорана Ђинђића 2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8.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Правни факултет</w:t>
            </w:r>
          </w:p>
          <w:p w:rsidR="0052775F" w:rsidRPr="00D176EE" w:rsidRDefault="0052775F" w:rsidP="0052775F">
            <w:pPr>
              <w:rPr>
                <w:b/>
              </w:rPr>
            </w:pPr>
            <w:hyperlink r:id="rId12" w:history="1">
              <w:r w:rsidRPr="00F82D23">
                <w:rPr>
                  <w:rStyle w:val="Hyperlink"/>
                  <w:rFonts w:ascii="Arial" w:hAnsi="Arial" w:cs="Arial"/>
                </w:rPr>
                <w:t>http://www.pf.uns.ac.rs/fakultet/lokacija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6.800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Трг Доситеја Обрадовића 1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9.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Медицински факултет</w:t>
            </w:r>
          </w:p>
          <w:p w:rsidR="0052775F" w:rsidRDefault="0052775F" w:rsidP="00FD4510">
            <w:hyperlink r:id="rId13" w:history="1">
              <w:r w:rsidRPr="00F82D23">
                <w:rPr>
                  <w:rStyle w:val="Hyperlink"/>
                </w:rPr>
                <w:t>http://www.medical.uns.ac.rs/mapafakulteta.php</w:t>
              </w:r>
            </w:hyperlink>
          </w:p>
          <w:p w:rsidR="0052775F" w:rsidRPr="001B73AD" w:rsidRDefault="0052775F" w:rsidP="00FD4510"/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lastRenderedPageBreak/>
              <w:t>7.475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Хајдук Вељкова 3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lastRenderedPageBreak/>
              <w:t>10.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Академија уметности</w:t>
            </w:r>
          </w:p>
          <w:p w:rsidR="0052775F" w:rsidRPr="001B73AD" w:rsidRDefault="0052775F" w:rsidP="0052775F">
            <w:hyperlink r:id="rId14" w:history="1">
              <w:r w:rsidRPr="00F82D23">
                <w:rPr>
                  <w:rStyle w:val="Hyperlink"/>
                </w:rPr>
                <w:t>http://www.akademija.uns.ac.rs/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4.670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Ђуре Јакшића 7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11.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b/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Технички факултет «Михајло Пупин» у Зрењанину</w:t>
            </w:r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3.600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Ђуре Ђаковића бб</w:t>
            </w:r>
            <w:r w:rsidRPr="007A702E">
              <w:rPr>
                <w:lang w:val="sr-Cyrl-CS"/>
              </w:rPr>
              <w:br/>
              <w:t>23000 Зрењанин</w:t>
            </w:r>
          </w:p>
        </w:tc>
      </w:tr>
      <w:tr w:rsidR="0052775F" w:rsidRPr="007A702E" w:rsidTr="0052775F">
        <w:trPr>
          <w:trHeight w:val="1151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12.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Факултет спорта и физичког васпитања</w:t>
            </w:r>
          </w:p>
          <w:p w:rsidR="0052775F" w:rsidRPr="001B73AD" w:rsidRDefault="0052775F" w:rsidP="0052775F">
            <w:hyperlink r:id="rId15" w:history="1">
              <w:r w:rsidRPr="00F82D23">
                <w:rPr>
                  <w:rStyle w:val="Hyperlink"/>
                </w:rPr>
                <w:t>http://fsfvns.rs/index.php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tabs>
                <w:tab w:val="left" w:pos="1592"/>
              </w:tabs>
              <w:ind w:right="-97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6.148</w:t>
            </w:r>
          </w:p>
          <w:p w:rsidR="0052775F" w:rsidRPr="007A702E" w:rsidRDefault="0052775F" w:rsidP="00FD4510">
            <w:pPr>
              <w:tabs>
                <w:tab w:val="left" w:pos="1592"/>
              </w:tabs>
              <w:ind w:right="-97"/>
              <w:jc w:val="center"/>
              <w:rPr>
                <w:lang w:val="sr-Cyrl-CS"/>
              </w:rPr>
            </w:pPr>
            <w:r w:rsidRPr="007A702E">
              <w:rPr>
                <w:sz w:val="18"/>
                <w:lang w:val="sr-Cyrl-CS"/>
              </w:rPr>
              <w:t>+29.198 игралишта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Ловћенска 16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13.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Педагошки факултет у Сомбору</w:t>
            </w:r>
          </w:p>
          <w:p w:rsidR="0052775F" w:rsidRPr="001B73AD" w:rsidRDefault="0052775F" w:rsidP="0052775F">
            <w:pPr>
              <w:rPr>
                <w:b/>
              </w:rPr>
            </w:pPr>
            <w:hyperlink r:id="rId16" w:history="1">
              <w:r w:rsidRPr="001B73AD">
                <w:rPr>
                  <w:rStyle w:val="Hyperlink"/>
                </w:rPr>
                <w:t>http://www.pef.uns.ac.rs/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5.560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Подгоричка 4</w:t>
            </w:r>
            <w:r w:rsidRPr="007A702E">
              <w:rPr>
                <w:lang w:val="sr-Cyrl-CS"/>
              </w:rPr>
              <w:br/>
              <w:t>25000 Сомбор</w:t>
            </w:r>
          </w:p>
        </w:tc>
      </w:tr>
      <w:tr w:rsidR="0052775F" w:rsidRPr="007A702E" w:rsidTr="0052775F">
        <w:trPr>
          <w:trHeight w:val="1313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14.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rFonts w:eastAsia="MS Mincho"/>
                <w:lang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Учитељски факултет на мађарском наставном језику у Суботици</w:t>
            </w:r>
          </w:p>
          <w:p w:rsidR="0052775F" w:rsidRPr="001B73AD" w:rsidRDefault="0052775F" w:rsidP="0052775F">
            <w:hyperlink r:id="rId17" w:history="1">
              <w:r w:rsidRPr="00F82D23">
                <w:rPr>
                  <w:rStyle w:val="Hyperlink"/>
                </w:rPr>
                <w:t>http://www.magister.uns.ac.rs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2.062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Штросмајерова 11</w:t>
            </w:r>
            <w:r w:rsidRPr="007A702E">
              <w:rPr>
                <w:lang w:val="sr-Cyrl-CS"/>
              </w:rPr>
              <w:br/>
              <w:t>24000 Суботица</w:t>
            </w:r>
          </w:p>
        </w:tc>
      </w:tr>
      <w:tr w:rsidR="0052775F" w:rsidRPr="007A702E" w:rsidTr="0052775F">
        <w:trPr>
          <w:trHeight w:val="340"/>
        </w:trPr>
        <w:tc>
          <w:tcPr>
            <w:tcW w:w="9288" w:type="dxa"/>
            <w:gridSpan w:val="4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b/>
                <w:lang w:val="sr-Cyrl-CS"/>
              </w:rPr>
            </w:pPr>
            <w:r w:rsidRPr="007A702E">
              <w:rPr>
                <w:lang w:val="sr-Cyrl-CS"/>
              </w:rPr>
              <w:tab/>
              <w:t>И</w:t>
            </w:r>
            <w:r w:rsidRPr="007A702E">
              <w:rPr>
                <w:b/>
                <w:lang w:val="sr-Cyrl-CS"/>
              </w:rPr>
              <w:t>нститути</w:t>
            </w:r>
          </w:p>
        </w:tc>
      </w:tr>
      <w:tr w:rsidR="0052775F" w:rsidRPr="007A702E" w:rsidTr="0052775F">
        <w:trPr>
          <w:trHeight w:val="340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15.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r w:rsidRPr="007A702E">
              <w:rPr>
                <w:lang w:val="sr-Cyrl-CS"/>
              </w:rPr>
              <w:t>Институт за низијско шумарство и животну средину</w:t>
            </w:r>
          </w:p>
          <w:p w:rsidR="0052775F" w:rsidRPr="001B73AD" w:rsidRDefault="0052775F" w:rsidP="00FD4510">
            <w:pPr>
              <w:rPr>
                <w:b/>
              </w:rPr>
            </w:pPr>
            <w:hyperlink r:id="rId18" w:tgtFrame="_blank" w:history="1">
              <w:r>
                <w:rPr>
                  <w:rStyle w:val="Hyperlink"/>
                  <w:rFonts w:ascii="Arial" w:hAnsi="Arial" w:cs="Arial"/>
                </w:rPr>
                <w:t>http://www.ilfe.org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700</w:t>
            </w:r>
          </w:p>
          <w:p w:rsidR="0052775F" w:rsidRPr="007A702E" w:rsidRDefault="0052775F" w:rsidP="00FD4510">
            <w:pPr>
              <w:ind w:right="-97"/>
              <w:jc w:val="center"/>
              <w:rPr>
                <w:lang w:val="sr-Cyrl-CS"/>
              </w:rPr>
            </w:pPr>
            <w:r w:rsidRPr="007A702E">
              <w:rPr>
                <w:sz w:val="16"/>
                <w:lang w:val="sr-Cyrl-CS"/>
              </w:rPr>
              <w:t>+огледно добро „Каћка шума“ 350 ха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rFonts w:eastAsia="MS Mincho"/>
                <w:sz w:val="18"/>
                <w:szCs w:val="18"/>
                <w:lang w:val="sr-Cyrl-CS" w:eastAsia="ja-JP"/>
              </w:rPr>
            </w:pPr>
            <w:r w:rsidRPr="007A702E">
              <w:rPr>
                <w:rFonts w:eastAsia="MS Mincho"/>
                <w:sz w:val="18"/>
                <w:szCs w:val="18"/>
                <w:lang w:val="sr-Cyrl-CS" w:eastAsia="ja-JP"/>
              </w:rPr>
              <w:t>Антона Чехова 13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sz w:val="18"/>
                <w:szCs w:val="18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1052"/>
        </w:trPr>
        <w:tc>
          <w:tcPr>
            <w:tcW w:w="568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lang w:val="sr-Cyrl-CS"/>
              </w:rPr>
            </w:pPr>
            <w:r w:rsidRPr="007A702E">
              <w:rPr>
                <w:lang w:val="sr-Cyrl-CS"/>
              </w:rPr>
              <w:t>16.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r w:rsidRPr="007A702E">
              <w:rPr>
                <w:lang w:val="sr-Cyrl-CS"/>
              </w:rPr>
              <w:t>Научни  институт за прехрамбене технологијe</w:t>
            </w:r>
          </w:p>
          <w:p w:rsidR="0052775F" w:rsidRPr="001B73AD" w:rsidRDefault="0052775F" w:rsidP="0052775F">
            <w:hyperlink r:id="rId19" w:history="1">
              <w:r w:rsidRPr="00F82D23">
                <w:rPr>
                  <w:rStyle w:val="Hyperlink"/>
                </w:rPr>
                <w:t>http://www.fins.uns.ac.rs/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7A702E">
              <w:rPr>
                <w:lang w:val="sr-Cyrl-CS"/>
              </w:rPr>
              <w:t>3.806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rFonts w:eastAsia="MS Mincho"/>
                <w:sz w:val="18"/>
                <w:szCs w:val="18"/>
                <w:lang w:val="sr-Cyrl-CS" w:eastAsia="ja-JP"/>
              </w:rPr>
            </w:pPr>
            <w:r w:rsidRPr="007A702E">
              <w:rPr>
                <w:rFonts w:eastAsia="MS Mincho"/>
                <w:sz w:val="18"/>
                <w:szCs w:val="18"/>
                <w:lang w:val="sr-Cyrl-CS" w:eastAsia="ja-JP"/>
              </w:rPr>
              <w:t>Булевар Цара Лазара 1</w:t>
            </w:r>
          </w:p>
          <w:p w:rsidR="0052775F" w:rsidRPr="007A702E" w:rsidRDefault="0052775F" w:rsidP="00FD4510">
            <w:pPr>
              <w:rPr>
                <w:lang w:val="sr-Cyrl-CS"/>
              </w:rPr>
            </w:pPr>
            <w:r w:rsidRPr="007A702E">
              <w:rPr>
                <w:rFonts w:eastAsia="MS Mincho"/>
                <w:sz w:val="18"/>
                <w:szCs w:val="18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1052"/>
        </w:trPr>
        <w:tc>
          <w:tcPr>
            <w:tcW w:w="568" w:type="dxa"/>
            <w:shd w:val="clear" w:color="auto" w:fill="FFD5FF"/>
            <w:vAlign w:val="center"/>
          </w:tcPr>
          <w:p w:rsidR="0052775F" w:rsidRPr="0052775F" w:rsidRDefault="0052775F" w:rsidP="00FD4510">
            <w:pPr>
              <w:jc w:val="right"/>
            </w:pPr>
            <w:r>
              <w:t>17.</w:t>
            </w:r>
          </w:p>
        </w:tc>
        <w:tc>
          <w:tcPr>
            <w:tcW w:w="4310" w:type="dxa"/>
            <w:shd w:val="clear" w:color="auto" w:fill="FFD5FF"/>
            <w:vAlign w:val="center"/>
          </w:tcPr>
          <w:p w:rsidR="0052775F" w:rsidRDefault="0052775F" w:rsidP="00FD45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Институт Биосенс </w:t>
            </w:r>
          </w:p>
          <w:p w:rsidR="0052775F" w:rsidRPr="0052775F" w:rsidRDefault="0052775F" w:rsidP="0052775F">
            <w:pPr>
              <w:spacing w:after="0" w:line="240" w:lineRule="auto"/>
              <w:rPr>
                <w:lang w:val="sr-Cyrl-RS"/>
              </w:rPr>
            </w:pPr>
            <w:hyperlink r:id="rId20" w:history="1">
              <w:r w:rsidRPr="0052775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https://biosens.rs</w:t>
              </w:r>
            </w:hyperlink>
          </w:p>
        </w:tc>
        <w:tc>
          <w:tcPr>
            <w:tcW w:w="1710" w:type="dxa"/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lang w:val="sr-Cyrl-CS"/>
              </w:rPr>
            </w:pPr>
            <w:r w:rsidRPr="0052775F">
              <w:rPr>
                <w:sz w:val="20"/>
                <w:lang w:val="sr-Cyrl-CS"/>
              </w:rPr>
              <w:t>672,11</w:t>
            </w:r>
          </w:p>
        </w:tc>
        <w:tc>
          <w:tcPr>
            <w:tcW w:w="2700" w:type="dxa"/>
            <w:shd w:val="clear" w:color="auto" w:fill="FFD5FF"/>
            <w:vAlign w:val="center"/>
          </w:tcPr>
          <w:p w:rsidR="0052775F" w:rsidRPr="007A702E" w:rsidRDefault="0052775F" w:rsidP="0052775F">
            <w:pPr>
              <w:rPr>
                <w:lang w:val="sr-Cyrl-CS"/>
              </w:rPr>
            </w:pPr>
            <w:r w:rsidRPr="007A702E">
              <w:rPr>
                <w:lang w:val="sr-Cyrl-CS"/>
              </w:rPr>
              <w:t>Др Зорана Ђинђића</w:t>
            </w:r>
            <w:r>
              <w:rPr>
                <w:lang w:val="sr-Cyrl-CS"/>
              </w:rPr>
              <w:t xml:space="preserve"> 1</w:t>
            </w:r>
          </w:p>
          <w:p w:rsidR="0052775F" w:rsidRPr="007A702E" w:rsidRDefault="0052775F" w:rsidP="0052775F">
            <w:pPr>
              <w:rPr>
                <w:rFonts w:eastAsia="MS Mincho"/>
                <w:sz w:val="18"/>
                <w:szCs w:val="18"/>
                <w:lang w:val="sr-Cyrl-CS" w:eastAsia="ja-JP"/>
              </w:rPr>
            </w:pPr>
            <w:r w:rsidRPr="007A702E">
              <w:rPr>
                <w:rFonts w:eastAsia="MS Mincho"/>
                <w:lang w:val="sr-Cyrl-CS" w:eastAsia="ja-JP"/>
              </w:rPr>
              <w:t>21000 Нови Сад</w:t>
            </w:r>
          </w:p>
        </w:tc>
      </w:tr>
      <w:tr w:rsidR="0052775F" w:rsidRPr="007A702E" w:rsidTr="0052775F">
        <w:trPr>
          <w:trHeight w:val="340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FFD5FF"/>
            <w:vAlign w:val="center"/>
          </w:tcPr>
          <w:p w:rsidR="0052775F" w:rsidRPr="007A702E" w:rsidRDefault="0052775F" w:rsidP="00FD4510">
            <w:pPr>
              <w:jc w:val="right"/>
              <w:rPr>
                <w:b/>
                <w:lang w:val="sr-Cyrl-CS"/>
              </w:rPr>
            </w:pPr>
            <w:r w:rsidRPr="007A702E">
              <w:rPr>
                <w:b/>
                <w:lang w:val="sr-Cyrl-CS"/>
              </w:rPr>
              <w:t>УКУПНО</w:t>
            </w:r>
          </w:p>
        </w:tc>
        <w:tc>
          <w:tcPr>
            <w:tcW w:w="1710" w:type="dxa"/>
            <w:tcBorders>
              <w:bottom w:val="single" w:sz="4" w:space="0" w:color="auto"/>
              <w:right w:val="nil"/>
            </w:tcBorders>
            <w:shd w:val="clear" w:color="auto" w:fill="FFD5FF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158.247</w:t>
            </w:r>
          </w:p>
        </w:tc>
        <w:tc>
          <w:tcPr>
            <w:tcW w:w="2700" w:type="dxa"/>
            <w:tcBorders>
              <w:left w:val="nil"/>
              <w:bottom w:val="single" w:sz="4" w:space="0" w:color="auto"/>
            </w:tcBorders>
            <w:shd w:val="clear" w:color="auto" w:fill="FFD5FF"/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</w:p>
        </w:tc>
      </w:tr>
      <w:tr w:rsidR="0052775F" w:rsidRPr="007A702E" w:rsidTr="0052775F">
        <w:trPr>
          <w:trHeight w:val="340"/>
        </w:trPr>
        <w:tc>
          <w:tcPr>
            <w:tcW w:w="487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2775F" w:rsidRPr="007A702E" w:rsidRDefault="0052775F" w:rsidP="00FD4510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2775F" w:rsidRPr="007A702E" w:rsidRDefault="0052775F" w:rsidP="00FD4510">
            <w:pPr>
              <w:ind w:right="3"/>
              <w:jc w:val="right"/>
              <w:rPr>
                <w:b/>
                <w:lang w:val="sr-Cyrl-CS"/>
              </w:rPr>
            </w:pPr>
          </w:p>
        </w:tc>
        <w:tc>
          <w:tcPr>
            <w:tcW w:w="27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2775F" w:rsidRPr="007A702E" w:rsidRDefault="0052775F" w:rsidP="00FD4510">
            <w:pPr>
              <w:rPr>
                <w:lang w:val="sr-Cyrl-CS"/>
              </w:rPr>
            </w:pPr>
          </w:p>
        </w:tc>
      </w:tr>
      <w:tr w:rsidR="0052775F" w:rsidRPr="007A702E" w:rsidTr="0052775F">
        <w:trPr>
          <w:trHeight w:hRule="exact" w:val="567"/>
        </w:trPr>
        <w:tc>
          <w:tcPr>
            <w:tcW w:w="4878" w:type="dxa"/>
            <w:gridSpan w:val="2"/>
            <w:shd w:val="clear" w:color="auto" w:fill="F3F3F3"/>
            <w:vAlign w:val="center"/>
          </w:tcPr>
          <w:p w:rsidR="0052775F" w:rsidRPr="007A702E" w:rsidRDefault="0052775F" w:rsidP="00FD4510">
            <w:pPr>
              <w:jc w:val="right"/>
              <w:rPr>
                <w:b/>
                <w:color w:val="000080"/>
                <w:lang w:val="sr-Cyrl-CS"/>
              </w:rPr>
            </w:pPr>
            <w:r w:rsidRPr="007A702E">
              <w:rPr>
                <w:b/>
                <w:color w:val="000080"/>
                <w:lang w:val="sr-Cyrl-CS"/>
              </w:rPr>
              <w:t>УНИВЕРЗИТЕТ УКУПНО</w:t>
            </w:r>
          </w:p>
        </w:tc>
        <w:tc>
          <w:tcPr>
            <w:tcW w:w="1710" w:type="dxa"/>
            <w:tcBorders>
              <w:right w:val="nil"/>
            </w:tcBorders>
            <w:shd w:val="clear" w:color="auto" w:fill="F3F3F3"/>
            <w:vAlign w:val="center"/>
          </w:tcPr>
          <w:p w:rsidR="0052775F" w:rsidRPr="007A702E" w:rsidRDefault="0052775F" w:rsidP="00FD4510">
            <w:pPr>
              <w:ind w:right="3"/>
              <w:jc w:val="center"/>
              <w:rPr>
                <w:b/>
                <w:color w:val="000080"/>
                <w:lang w:val="sr-Cyrl-CS"/>
              </w:rPr>
            </w:pPr>
            <w:r>
              <w:rPr>
                <w:b/>
                <w:color w:val="000080"/>
                <w:lang w:val="sr-Cyrl-CS"/>
              </w:rPr>
              <w:t>164.282</w:t>
            </w:r>
            <w:bookmarkStart w:id="0" w:name="_GoBack"/>
            <w:bookmarkEnd w:id="0"/>
            <w:r w:rsidRPr="007A702E">
              <w:rPr>
                <w:b/>
                <w:color w:val="000080"/>
                <w:lang w:val="sr-Cyrl-CS"/>
              </w:rPr>
              <w:t xml:space="preserve"> м2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F3F3F3"/>
            <w:vAlign w:val="center"/>
          </w:tcPr>
          <w:p w:rsidR="0052775F" w:rsidRPr="007A702E" w:rsidRDefault="0052775F" w:rsidP="00FD4510">
            <w:pPr>
              <w:rPr>
                <w:color w:val="000080"/>
                <w:lang w:val="sr-Cyrl-CS"/>
              </w:rPr>
            </w:pPr>
          </w:p>
        </w:tc>
      </w:tr>
    </w:tbl>
    <w:p w:rsidR="0052775F" w:rsidRP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Latn-CS"/>
        </w:rPr>
      </w:pPr>
    </w:p>
    <w:p w:rsidR="0052775F" w:rsidRP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</w:pPr>
      <w:r w:rsidRPr="0052775F"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  <w:t>Грађевинска вредност објеката и опрема на 31.12.201</w:t>
      </w:r>
      <w:r w:rsidRPr="0052775F">
        <w:rPr>
          <w:rFonts w:ascii="Times New Roman" w:eastAsia="Times New Roman" w:hAnsi="Times New Roman" w:cs="Times New Roman"/>
          <w:sz w:val="20"/>
          <w:szCs w:val="20"/>
          <w:lang w:val="sr-Latn-RS" w:eastAsia="sr-Latn-CS"/>
        </w:rPr>
        <w:t>9</w:t>
      </w:r>
      <w:r w:rsidRPr="0052775F"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  <w:t>. године</w:t>
      </w:r>
    </w:p>
    <w:p w:rsidR="0052775F" w:rsidRP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</w:pPr>
    </w:p>
    <w:p w:rsidR="0052775F" w:rsidRPr="0052775F" w:rsidRDefault="0052775F" w:rsidP="005277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sr-Cyrl-RS" w:eastAsia="sr-Latn-C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994910" cy="3813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10" cy="38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75F" w:rsidRPr="0052775F" w:rsidRDefault="0052775F"/>
    <w:sectPr w:rsidR="0052775F" w:rsidRPr="00527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5F"/>
    <w:rsid w:val="00206DD5"/>
    <w:rsid w:val="002C21D9"/>
    <w:rsid w:val="0052775F"/>
    <w:rsid w:val="006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7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277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277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277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5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277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277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2775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52775F"/>
    <w:rPr>
      <w:i/>
      <w:iCs/>
    </w:rPr>
  </w:style>
  <w:style w:type="character" w:customStyle="1" w:styleId="dyjrff">
    <w:name w:val="dyjrff"/>
    <w:basedOn w:val="DefaultParagraphFont"/>
    <w:rsid w:val="00527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7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277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277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277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5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277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2775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2775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52775F"/>
    <w:rPr>
      <w:i/>
      <w:iCs/>
    </w:rPr>
  </w:style>
  <w:style w:type="character" w:customStyle="1" w:styleId="dyjrff">
    <w:name w:val="dyjrff"/>
    <w:basedOn w:val="DefaultParagraphFont"/>
    <w:rsid w:val="0052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6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6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6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4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7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56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142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109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566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f.uns.ac.rs/fakultet/lokacija.php" TargetMode="External"/><Relationship Id="rId13" Type="http://schemas.openxmlformats.org/officeDocument/2006/relationships/hyperlink" Target="http://www.medical.uns.ac.rs/mapafakulteta.php" TargetMode="External"/><Relationship Id="rId18" Type="http://schemas.openxmlformats.org/officeDocument/2006/relationships/hyperlink" Target="http://www.ilfe.or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emf"/><Relationship Id="rId7" Type="http://schemas.openxmlformats.org/officeDocument/2006/relationships/hyperlink" Target="http://www.pmf.uns.ac.rs/o_fakultetu/akta" TargetMode="External"/><Relationship Id="rId12" Type="http://schemas.openxmlformats.org/officeDocument/2006/relationships/hyperlink" Target="http://www.pf.uns.ac.rs/fakultet/lokacija" TargetMode="External"/><Relationship Id="rId17" Type="http://schemas.openxmlformats.org/officeDocument/2006/relationships/hyperlink" Target="http://www.magister.uns.ac.r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ef.uns.ac.rs/" TargetMode="External"/><Relationship Id="rId20" Type="http://schemas.openxmlformats.org/officeDocument/2006/relationships/hyperlink" Target="https://biosens.r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tn.uns.ac.rs/index.php" TargetMode="External"/><Relationship Id="rId11" Type="http://schemas.openxmlformats.org/officeDocument/2006/relationships/hyperlink" Target="http://www.ff.uns.ac.rs" TargetMode="External"/><Relationship Id="rId5" Type="http://schemas.openxmlformats.org/officeDocument/2006/relationships/hyperlink" Target="http://www.tf.uns.ac.rs/org-org.php" TargetMode="External"/><Relationship Id="rId15" Type="http://schemas.openxmlformats.org/officeDocument/2006/relationships/hyperlink" Target="http://fsfvns.rs/index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f.uns.ac.rs/index.htm" TargetMode="External"/><Relationship Id="rId19" Type="http://schemas.openxmlformats.org/officeDocument/2006/relationships/hyperlink" Target="http://www.fins.uns.ac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lj.uns.ac.rs" TargetMode="External"/><Relationship Id="rId14" Type="http://schemas.openxmlformats.org/officeDocument/2006/relationships/hyperlink" Target="http://www.akademija.uns.ac.r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D&amp;M</dc:creator>
  <cp:lastModifiedBy>D&amp;M</cp:lastModifiedBy>
  <cp:revision>1</cp:revision>
  <dcterms:created xsi:type="dcterms:W3CDTF">2020-11-10T13:29:00Z</dcterms:created>
  <dcterms:modified xsi:type="dcterms:W3CDTF">2020-11-10T13:38:00Z</dcterms:modified>
</cp:coreProperties>
</file>